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3BD5953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FD6F94"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4"/>
          <w:szCs w:val="24"/>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4BC912E3" w14:textId="77777777" w:rsidTr="00775AD1">
        <w:tc>
          <w:tcPr>
            <w:tcW w:w="2847" w:type="dxa"/>
            <w:shd w:val="clear" w:color="auto" w:fill="auto"/>
            <w:vAlign w:val="center"/>
          </w:tcPr>
          <w:p w14:paraId="463313B8" w14:textId="066AA714"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B36AE0">
              <w:rPr>
                <w:rFonts w:ascii="Times New Roman" w:eastAsia="Times New Roman" w:hAnsi="Times New Roman"/>
                <w:snapToGrid w:val="0"/>
                <w:sz w:val="24"/>
                <w:szCs w:val="24"/>
                <w:lang w:eastAsia="ru-RU"/>
              </w:rPr>
              <w:t>1</w:t>
            </w:r>
            <w:r w:rsidR="00CA0241">
              <w:rPr>
                <w:rFonts w:ascii="Times New Roman" w:eastAsia="Times New Roman" w:hAnsi="Times New Roman"/>
                <w:snapToGrid w:val="0"/>
                <w:sz w:val="24"/>
                <w:szCs w:val="24"/>
                <w:lang w:eastAsia="ru-RU"/>
              </w:rPr>
              <w:t>2</w:t>
            </w:r>
            <w:r w:rsidR="00FD6F94">
              <w:rPr>
                <w:rFonts w:ascii="Times New Roman" w:eastAsia="Times New Roman" w:hAnsi="Times New Roman"/>
                <w:snapToGrid w:val="0"/>
                <w:sz w:val="24"/>
                <w:szCs w:val="24"/>
                <w:lang w:val="tg-Cyrl-TJ" w:eastAsia="ru-RU"/>
              </w:rPr>
              <w:t>4</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4F1DC036"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proofErr w:type="gramStart"/>
            <w:r w:rsidRPr="004B0783">
              <w:rPr>
                <w:rFonts w:ascii="Times New Roman" w:eastAsia="Times New Roman" w:hAnsi="Times New Roman"/>
                <w:snapToGrid w:val="0"/>
                <w:sz w:val="24"/>
                <w:szCs w:val="24"/>
                <w:lang w:eastAsia="ru-RU"/>
              </w:rPr>
              <w:t xml:space="preserve">« </w:t>
            </w:r>
            <w:r w:rsidR="00D62305">
              <w:rPr>
                <w:rFonts w:ascii="Times New Roman" w:eastAsia="Times New Roman" w:hAnsi="Times New Roman"/>
                <w:snapToGrid w:val="0"/>
                <w:sz w:val="24"/>
                <w:szCs w:val="24"/>
                <w:lang w:eastAsia="ru-RU"/>
              </w:rPr>
              <w:t>11</w:t>
            </w:r>
            <w:proofErr w:type="gramEnd"/>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CA0241">
              <w:rPr>
                <w:rFonts w:ascii="Times New Roman" w:eastAsia="Times New Roman" w:hAnsi="Times New Roman"/>
                <w:snapToGrid w:val="0"/>
                <w:sz w:val="24"/>
                <w:szCs w:val="24"/>
                <w:lang w:eastAsia="ru-RU"/>
              </w:rPr>
              <w:t>июля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FD6F9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proofErr w:type="spellStart"/>
        <w:r w:rsidRPr="004B0783">
          <w:rPr>
            <w:rFonts w:ascii="Times New Roman" w:eastAsia="Times New Roman" w:hAnsi="Times New Roman"/>
            <w:snapToGrid w:val="0"/>
            <w:color w:val="0000FF" w:themeColor="hyperlink"/>
            <w:sz w:val="24"/>
            <w:szCs w:val="24"/>
            <w:u w:val="single"/>
            <w:lang w:val="en-US" w:eastAsia="ru-RU"/>
          </w:rPr>
          <w:t>sangtuda</w:t>
        </w:r>
        <w:proofErr w:type="spellEnd"/>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w:t>
      </w:r>
      <w:proofErr w:type="gramStart"/>
      <w:r w:rsidRPr="004B0783">
        <w:rPr>
          <w:rFonts w:ascii="Times New Roman" w:eastAsia="Times New Roman" w:hAnsi="Times New Roman"/>
          <w:snapToGrid w:val="0"/>
          <w:color w:val="000000"/>
          <w:sz w:val="24"/>
          <w:szCs w:val="24"/>
          <w:lang w:eastAsia="ru-RU"/>
        </w:rPr>
        <w:t>: В любое время</w:t>
      </w:r>
      <w:proofErr w:type="gramEnd"/>
      <w:r w:rsidRPr="004B0783">
        <w:rPr>
          <w:rFonts w:ascii="Times New Roman" w:eastAsia="Times New Roman" w:hAnsi="Times New Roman"/>
          <w:snapToGrid w:val="0"/>
          <w:color w:val="000000"/>
          <w:sz w:val="24"/>
          <w:szCs w:val="24"/>
          <w:lang w:eastAsia="ru-RU"/>
        </w:rPr>
        <w:t xml:space="preserve">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 xml:space="preserve">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xml:space="preserve">,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Почтовый адрес: 734024, 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 xml:space="preserve">Каримов Фарух </w:t>
      </w:r>
      <w:proofErr w:type="spellStart"/>
      <w:r w:rsidRPr="000754AC">
        <w:rPr>
          <w:rFonts w:ascii="Times New Roman" w:hAnsi="Times New Roman"/>
          <w:sz w:val="24"/>
          <w:szCs w:val="24"/>
          <w:lang w:eastAsia="ru-RU"/>
        </w:rPr>
        <w:t>Бахриддинович</w:t>
      </w:r>
      <w:proofErr w:type="spellEnd"/>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392C8377"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 xml:space="preserve">Холов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миджон</w:t>
      </w:r>
      <w:proofErr w:type="spellEnd"/>
      <w:r w:rsidR="00C0706F" w:rsidRPr="00C0706F">
        <w:rPr>
          <w:rFonts w:ascii="Times New Roman" w:hAnsi="Times New Roman"/>
          <w:sz w:val="24"/>
          <w:szCs w:val="24"/>
          <w:lang w:eastAsia="ru-RU"/>
        </w:rPr>
        <w:t xml:space="preserve">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шимджонович</w:t>
      </w:r>
      <w:proofErr w:type="spellEnd"/>
      <w:r w:rsidR="00C0706F" w:rsidRPr="00C0706F">
        <w:rPr>
          <w:rFonts w:ascii="Times New Roman" w:hAnsi="Times New Roman"/>
          <w:sz w:val="24"/>
          <w:szCs w:val="24"/>
          <w:lang w:eastAsia="ru-RU"/>
        </w:rPr>
        <w:t>,</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3F36D76B"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B36AE0" w:rsidRPr="00B36AE0">
        <w:rPr>
          <w:rFonts w:ascii="Times New Roman" w:eastAsia="Times New Roman" w:hAnsi="Times New Roman"/>
          <w:b/>
          <w:snapToGrid w:val="0"/>
          <w:sz w:val="24"/>
          <w:szCs w:val="24"/>
          <w:lang w:eastAsia="ru-RU"/>
        </w:rPr>
        <w:t>прохождение учебного курса: «</w:t>
      </w:r>
      <w:r w:rsidR="00FD6F94" w:rsidRPr="00FD6F94">
        <w:rPr>
          <w:rFonts w:ascii="Times New Roman" w:eastAsia="Times New Roman" w:hAnsi="Times New Roman"/>
          <w:b/>
          <w:snapToGrid w:val="0"/>
          <w:sz w:val="24"/>
          <w:szCs w:val="24"/>
          <w:lang w:eastAsia="ru-RU"/>
        </w:rPr>
        <w:t>Юрист по договорной работе</w:t>
      </w:r>
      <w:r w:rsidR="00B36AE0" w:rsidRPr="00B36AE0">
        <w:rPr>
          <w:rFonts w:ascii="Times New Roman" w:eastAsia="Times New Roman" w:hAnsi="Times New Roman"/>
          <w:b/>
          <w:snapToGrid w:val="0"/>
          <w:sz w:val="24"/>
          <w:szCs w:val="24"/>
          <w:lang w:eastAsia="ru-RU"/>
        </w:rPr>
        <w:t>»</w:t>
      </w:r>
      <w:r w:rsidR="00F72F26">
        <w:rPr>
          <w:rFonts w:ascii="Times New Roman" w:eastAsia="Times New Roman" w:hAnsi="Times New Roman"/>
          <w:b/>
          <w:snapToGrid w:val="0"/>
          <w:sz w:val="24"/>
          <w:szCs w:val="24"/>
          <w:lang w:eastAsia="ru-RU"/>
        </w:rPr>
        <w:t>.</w:t>
      </w:r>
    </w:p>
    <w:p w14:paraId="7357FF96"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77D615C0"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w:t>
      </w:r>
      <w:r w:rsidR="0079227C">
        <w:rPr>
          <w:rFonts w:ascii="Times New Roman" w:eastAsia="Times New Roman" w:hAnsi="Times New Roman"/>
          <w:snapToGrid w:val="0"/>
          <w:color w:val="000000"/>
          <w:sz w:val="24"/>
          <w:szCs w:val="24"/>
          <w:lang w:eastAsia="ru-RU"/>
        </w:rPr>
        <w:t>в соответствии с техническим заданием</w:t>
      </w:r>
      <w:r w:rsidRPr="004B0783">
        <w:rPr>
          <w:rFonts w:ascii="Times New Roman" w:eastAsia="Times New Roman" w:hAnsi="Times New Roman"/>
          <w:snapToGrid w:val="0"/>
          <w:color w:val="000000"/>
          <w:sz w:val="24"/>
          <w:szCs w:val="24"/>
          <w:lang w:eastAsia="ru-RU"/>
        </w:rPr>
        <w:t>.</w:t>
      </w:r>
    </w:p>
    <w:p w14:paraId="146868BE" w14:textId="3C347CC6" w:rsidR="004B0783" w:rsidRPr="00FD6F94"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FD6F94" w:rsidRPr="00FD6F94">
        <w:rPr>
          <w:rFonts w:ascii="Times New Roman" w:hAnsi="Times New Roman"/>
          <w:b/>
          <w:bCs/>
          <w:sz w:val="24"/>
          <w:szCs w:val="24"/>
        </w:rPr>
        <w:t>семь тысяч шестьсот восемьдесят девять</w:t>
      </w:r>
      <w:r w:rsidR="009262A0">
        <w:rPr>
          <w:rFonts w:ascii="Times New Roman" w:hAnsi="Times New Roman"/>
          <w:b/>
          <w:bCs/>
          <w:sz w:val="24"/>
          <w:szCs w:val="24"/>
        </w:rPr>
        <w:t xml:space="preserve"> сомони</w:t>
      </w:r>
      <w:r w:rsidR="002619CE" w:rsidRPr="002619CE">
        <w:rPr>
          <w:rFonts w:ascii="Times New Roman" w:hAnsi="Times New Roman"/>
          <w:b/>
          <w:bCs/>
          <w:sz w:val="24"/>
          <w:szCs w:val="24"/>
        </w:rPr>
        <w:t xml:space="preserve">, </w:t>
      </w:r>
      <w:r w:rsidR="00FD6F94">
        <w:rPr>
          <w:rFonts w:ascii="Times New Roman" w:hAnsi="Times New Roman"/>
          <w:b/>
          <w:bCs/>
          <w:sz w:val="24"/>
          <w:szCs w:val="24"/>
          <w:lang w:val="tg-Cyrl-TJ"/>
        </w:rPr>
        <w:t>49</w:t>
      </w:r>
      <w:r w:rsidR="002619CE" w:rsidRPr="002619CE">
        <w:rPr>
          <w:rFonts w:ascii="Times New Roman" w:hAnsi="Times New Roman"/>
          <w:b/>
          <w:bCs/>
          <w:sz w:val="24"/>
          <w:szCs w:val="24"/>
        </w:rPr>
        <w:t xml:space="preserve">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FD6F94" w:rsidRPr="00FD6F94">
        <w:rPr>
          <w:rFonts w:ascii="Times New Roman" w:hAnsi="Times New Roman"/>
          <w:b/>
          <w:bCs/>
          <w:sz w:val="24"/>
          <w:szCs w:val="24"/>
        </w:rPr>
        <w:t>7</w:t>
      </w:r>
      <w:r w:rsidR="00FD6F94">
        <w:rPr>
          <w:rFonts w:ascii="Times New Roman" w:hAnsi="Times New Roman"/>
          <w:b/>
          <w:bCs/>
          <w:sz w:val="24"/>
          <w:szCs w:val="24"/>
          <w:lang w:val="tg-Cyrl-TJ"/>
        </w:rPr>
        <w:t> </w:t>
      </w:r>
      <w:r w:rsidR="00FD6F94" w:rsidRPr="00FD6F94">
        <w:rPr>
          <w:rFonts w:ascii="Times New Roman" w:hAnsi="Times New Roman"/>
          <w:b/>
          <w:bCs/>
          <w:sz w:val="24"/>
          <w:szCs w:val="24"/>
        </w:rPr>
        <w:t>689</w:t>
      </w:r>
      <w:r w:rsidR="00FD6F94">
        <w:rPr>
          <w:rFonts w:ascii="Times New Roman" w:hAnsi="Times New Roman"/>
          <w:b/>
          <w:bCs/>
          <w:sz w:val="24"/>
          <w:szCs w:val="24"/>
          <w:lang w:val="tg-Cyrl-TJ"/>
        </w:rPr>
        <w:t>,</w:t>
      </w:r>
      <w:r w:rsidR="00FD6F94" w:rsidRPr="00FD6F94">
        <w:rPr>
          <w:rFonts w:ascii="Times New Roman" w:hAnsi="Times New Roman"/>
          <w:b/>
          <w:bCs/>
          <w:sz w:val="24"/>
          <w:szCs w:val="24"/>
        </w:rPr>
        <w:t>49</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 xml:space="preserve">в соответствии с техническим заданием и проектом </w:t>
      </w:r>
      <w:r w:rsidRPr="004B0783">
        <w:rPr>
          <w:rFonts w:ascii="Times New Roman" w:eastAsia="Times New Roman" w:hAnsi="Times New Roman"/>
          <w:snapToGrid w:val="0"/>
          <w:sz w:val="24"/>
          <w:szCs w:val="24"/>
          <w:lang w:eastAsia="ru-RU"/>
        </w:rPr>
        <w:lastRenderedPageBreak/>
        <w:t>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Предложение должно быть оформлено в виде Коммерческого предложения по форме, согласно Приложению № 1 в формате </w:t>
      </w:r>
      <w:proofErr w:type="spellStart"/>
      <w:r w:rsidRPr="004B0783">
        <w:rPr>
          <w:rFonts w:ascii="Times New Roman" w:eastAsia="Times New Roman" w:hAnsi="Times New Roman"/>
          <w:snapToGrid w:val="0"/>
          <w:color w:val="000000"/>
          <w:sz w:val="24"/>
          <w:szCs w:val="24"/>
          <w:lang w:eastAsia="ru-RU"/>
        </w:rPr>
        <w:t>pdf</w:t>
      </w:r>
      <w:proofErr w:type="spellEnd"/>
      <w:r w:rsidRPr="004B0783">
        <w:rPr>
          <w:rFonts w:ascii="Times New Roman" w:eastAsia="Times New Roman" w:hAnsi="Times New Roman"/>
          <w:snapToGrid w:val="0"/>
          <w:color w:val="000000"/>
          <w:sz w:val="24"/>
          <w:szCs w:val="24"/>
          <w:lang w:eastAsia="ru-RU"/>
        </w:rPr>
        <w:t xml:space="preserve">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302C7270"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Участник закупки должен представить Выписку </w:t>
      </w:r>
      <w:r w:rsidR="00B30794" w:rsidRPr="004B0783">
        <w:rPr>
          <w:rFonts w:ascii="Times New Roman" w:eastAsia="Times New Roman" w:hAnsi="Times New Roman"/>
          <w:snapToGrid w:val="0"/>
          <w:color w:val="000000"/>
          <w:sz w:val="24"/>
          <w:szCs w:val="24"/>
          <w:lang w:eastAsia="ru-RU"/>
        </w:rPr>
        <w:t>из ЕГРЮЛ,</w:t>
      </w:r>
      <w:r w:rsidRPr="004B0783">
        <w:rPr>
          <w:rFonts w:ascii="Times New Roman" w:eastAsia="Times New Roman" w:hAnsi="Times New Roman"/>
          <w:snapToGrid w:val="0"/>
          <w:color w:val="000000"/>
          <w:sz w:val="24"/>
          <w:szCs w:val="24"/>
          <w:lang w:eastAsia="ru-RU"/>
        </w:rPr>
        <w:t xml:space="preserve">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lastRenderedPageBreak/>
        <w:tab/>
        <w:t>С выбранными по результатам проведенного изучения рынка, или анализа коммерческих предложений Поставщиками могут быть проведены переговоры по 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4BF18B6F"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w:t>
      </w:r>
      <w:r w:rsidR="00071365">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00E8FB34"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w:t>
      </w:r>
      <w:r w:rsidR="00071365">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1AEE1222" w14:textId="2ED81221"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071365">
        <w:rPr>
          <w:rFonts w:ascii="Times New Roman" w:eastAsia="Times New Roman" w:hAnsi="Times New Roman"/>
          <w:b/>
          <w:sz w:val="24"/>
          <w:szCs w:val="24"/>
          <w:lang w:eastAsia="ru-RU"/>
        </w:rPr>
        <w:t>24</w:t>
      </w:r>
      <w:r w:rsidRPr="004B0783">
        <w:rPr>
          <w:rFonts w:ascii="Times New Roman" w:eastAsia="Times New Roman" w:hAnsi="Times New Roman"/>
          <w:b/>
          <w:sz w:val="24"/>
          <w:szCs w:val="24"/>
          <w:lang w:eastAsia="ru-RU"/>
        </w:rPr>
        <w:t xml:space="preserve">» </w:t>
      </w:r>
      <w:r w:rsidR="00AC2213">
        <w:rPr>
          <w:rFonts w:ascii="Times New Roman" w:eastAsia="Times New Roman" w:hAnsi="Times New Roman"/>
          <w:b/>
          <w:sz w:val="24"/>
          <w:szCs w:val="24"/>
          <w:lang w:eastAsia="ru-RU"/>
        </w:rPr>
        <w:t>июля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4F9923ED"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00684EA8">
        <w:rPr>
          <w:rFonts w:ascii="Times New Roman" w:eastAsia="Times New Roman" w:hAnsi="Times New Roman"/>
          <w:snapToGrid w:val="0"/>
          <w:sz w:val="24"/>
          <w:szCs w:val="24"/>
          <w:lang w:val="tg-Cyrl-TJ" w:eastAsia="ru-RU"/>
        </w:rPr>
        <w:t>в соответсвии с техническим заданием.</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65D24F03"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B30794">
        <w:rPr>
          <w:rFonts w:ascii="Times New Roman" w:eastAsia="Times New Roman" w:hAnsi="Times New Roman"/>
          <w:bCs/>
          <w:snapToGrid w:val="0"/>
          <w:lang w:eastAsia="ru-RU"/>
        </w:rPr>
        <w:t>19</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 xml:space="preserve">Генеральный директор                                                            А.С. </w:t>
      </w:r>
      <w:proofErr w:type="spellStart"/>
      <w:r w:rsidRPr="004B0783">
        <w:rPr>
          <w:rFonts w:ascii="Times New Roman" w:eastAsia="Times New Roman" w:hAnsi="Times New Roman"/>
          <w:bCs/>
          <w:snapToGrid w:val="0"/>
          <w:sz w:val="28"/>
          <w:szCs w:val="28"/>
          <w:lang w:eastAsia="ru-RU"/>
        </w:rPr>
        <w:t>Шевнин</w:t>
      </w:r>
      <w:proofErr w:type="spellEnd"/>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210DE6D5" w14:textId="77777777" w:rsidR="00772231" w:rsidRPr="00566D57"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3828"/>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1276253606">
    <w:abstractNumId w:val="0"/>
  </w:num>
  <w:num w:numId="2" w16cid:durableId="1028331434">
    <w:abstractNumId w:val="1"/>
  </w:num>
  <w:num w:numId="3" w16cid:durableId="89092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62D99"/>
    <w:rsid w:val="00071365"/>
    <w:rsid w:val="0008589A"/>
    <w:rsid w:val="000A0B51"/>
    <w:rsid w:val="000A6946"/>
    <w:rsid w:val="000B1637"/>
    <w:rsid w:val="000B330D"/>
    <w:rsid w:val="000D5685"/>
    <w:rsid w:val="000E011C"/>
    <w:rsid w:val="000E166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A6B6C"/>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4A6C"/>
    <w:rsid w:val="002A77F4"/>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2053"/>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515E"/>
    <w:rsid w:val="00566D57"/>
    <w:rsid w:val="005814E5"/>
    <w:rsid w:val="00582C1E"/>
    <w:rsid w:val="00586A49"/>
    <w:rsid w:val="005930F4"/>
    <w:rsid w:val="005A0D7D"/>
    <w:rsid w:val="005A29F8"/>
    <w:rsid w:val="005A4A0F"/>
    <w:rsid w:val="005B1397"/>
    <w:rsid w:val="005C4046"/>
    <w:rsid w:val="005D0743"/>
    <w:rsid w:val="005D0C98"/>
    <w:rsid w:val="005D4715"/>
    <w:rsid w:val="005E089F"/>
    <w:rsid w:val="005E2545"/>
    <w:rsid w:val="005E4D0C"/>
    <w:rsid w:val="005E5EB1"/>
    <w:rsid w:val="00606889"/>
    <w:rsid w:val="00630034"/>
    <w:rsid w:val="006320D3"/>
    <w:rsid w:val="006337EE"/>
    <w:rsid w:val="00633876"/>
    <w:rsid w:val="00636559"/>
    <w:rsid w:val="006408B2"/>
    <w:rsid w:val="006472DE"/>
    <w:rsid w:val="006553F4"/>
    <w:rsid w:val="006742AF"/>
    <w:rsid w:val="00682424"/>
    <w:rsid w:val="00684EA8"/>
    <w:rsid w:val="00694DEB"/>
    <w:rsid w:val="006C4C32"/>
    <w:rsid w:val="006D063F"/>
    <w:rsid w:val="006E01E8"/>
    <w:rsid w:val="006F56C1"/>
    <w:rsid w:val="00704F51"/>
    <w:rsid w:val="00712FE2"/>
    <w:rsid w:val="007140B4"/>
    <w:rsid w:val="00722E25"/>
    <w:rsid w:val="00734EB0"/>
    <w:rsid w:val="00737C4B"/>
    <w:rsid w:val="0074513F"/>
    <w:rsid w:val="00763D3A"/>
    <w:rsid w:val="00772231"/>
    <w:rsid w:val="007739C1"/>
    <w:rsid w:val="00776130"/>
    <w:rsid w:val="00780C3F"/>
    <w:rsid w:val="0079227C"/>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28F3"/>
    <w:rsid w:val="0085299A"/>
    <w:rsid w:val="008620A5"/>
    <w:rsid w:val="00862A45"/>
    <w:rsid w:val="0086635C"/>
    <w:rsid w:val="00867F05"/>
    <w:rsid w:val="008802AE"/>
    <w:rsid w:val="00880BA1"/>
    <w:rsid w:val="008817A2"/>
    <w:rsid w:val="00883543"/>
    <w:rsid w:val="008B17D5"/>
    <w:rsid w:val="008C40FE"/>
    <w:rsid w:val="008C6735"/>
    <w:rsid w:val="008D0A2A"/>
    <w:rsid w:val="008E0B54"/>
    <w:rsid w:val="008E3C2A"/>
    <w:rsid w:val="00903713"/>
    <w:rsid w:val="00920D2D"/>
    <w:rsid w:val="00921020"/>
    <w:rsid w:val="009262A0"/>
    <w:rsid w:val="00943ED1"/>
    <w:rsid w:val="00966874"/>
    <w:rsid w:val="00972D9D"/>
    <w:rsid w:val="009A2335"/>
    <w:rsid w:val="009C0523"/>
    <w:rsid w:val="009C25C4"/>
    <w:rsid w:val="009C3AF6"/>
    <w:rsid w:val="009C7C83"/>
    <w:rsid w:val="009D09D3"/>
    <w:rsid w:val="009D34FB"/>
    <w:rsid w:val="009D35CD"/>
    <w:rsid w:val="009D5D70"/>
    <w:rsid w:val="009E133A"/>
    <w:rsid w:val="009F5A73"/>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1506"/>
    <w:rsid w:val="00A92DA4"/>
    <w:rsid w:val="00A945DC"/>
    <w:rsid w:val="00A94B8E"/>
    <w:rsid w:val="00A96090"/>
    <w:rsid w:val="00AA4DCA"/>
    <w:rsid w:val="00AA51AF"/>
    <w:rsid w:val="00AA52CC"/>
    <w:rsid w:val="00AA67BB"/>
    <w:rsid w:val="00AA7050"/>
    <w:rsid w:val="00AC2213"/>
    <w:rsid w:val="00AC6301"/>
    <w:rsid w:val="00AD20F5"/>
    <w:rsid w:val="00AD3682"/>
    <w:rsid w:val="00AD5EB3"/>
    <w:rsid w:val="00AE0430"/>
    <w:rsid w:val="00AE0755"/>
    <w:rsid w:val="00AE0823"/>
    <w:rsid w:val="00AE1B72"/>
    <w:rsid w:val="00AE6ED9"/>
    <w:rsid w:val="00B0283F"/>
    <w:rsid w:val="00B16D95"/>
    <w:rsid w:val="00B21B88"/>
    <w:rsid w:val="00B30794"/>
    <w:rsid w:val="00B34E2B"/>
    <w:rsid w:val="00B36AE0"/>
    <w:rsid w:val="00B36D2E"/>
    <w:rsid w:val="00B4219F"/>
    <w:rsid w:val="00B44EAE"/>
    <w:rsid w:val="00B45B2F"/>
    <w:rsid w:val="00B506A5"/>
    <w:rsid w:val="00B510F5"/>
    <w:rsid w:val="00B528B3"/>
    <w:rsid w:val="00B55DCE"/>
    <w:rsid w:val="00B71620"/>
    <w:rsid w:val="00B84358"/>
    <w:rsid w:val="00B87F2E"/>
    <w:rsid w:val="00B91FA3"/>
    <w:rsid w:val="00BB4355"/>
    <w:rsid w:val="00BC51F2"/>
    <w:rsid w:val="00BD06FA"/>
    <w:rsid w:val="00BD7A1C"/>
    <w:rsid w:val="00BF79A8"/>
    <w:rsid w:val="00C0219F"/>
    <w:rsid w:val="00C02FAC"/>
    <w:rsid w:val="00C0706F"/>
    <w:rsid w:val="00C15504"/>
    <w:rsid w:val="00C15997"/>
    <w:rsid w:val="00C17EA0"/>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0241"/>
    <w:rsid w:val="00CA2924"/>
    <w:rsid w:val="00CB62D1"/>
    <w:rsid w:val="00CB7787"/>
    <w:rsid w:val="00CC4491"/>
    <w:rsid w:val="00CE1D48"/>
    <w:rsid w:val="00CE3273"/>
    <w:rsid w:val="00D0464E"/>
    <w:rsid w:val="00D2148F"/>
    <w:rsid w:val="00D31120"/>
    <w:rsid w:val="00D3477F"/>
    <w:rsid w:val="00D423DC"/>
    <w:rsid w:val="00D47014"/>
    <w:rsid w:val="00D52966"/>
    <w:rsid w:val="00D52B6B"/>
    <w:rsid w:val="00D60995"/>
    <w:rsid w:val="00D61BA8"/>
    <w:rsid w:val="00D62305"/>
    <w:rsid w:val="00D6389C"/>
    <w:rsid w:val="00D75412"/>
    <w:rsid w:val="00D77129"/>
    <w:rsid w:val="00DA3DF1"/>
    <w:rsid w:val="00DC6D14"/>
    <w:rsid w:val="00DD3049"/>
    <w:rsid w:val="00DD4571"/>
    <w:rsid w:val="00DD67CA"/>
    <w:rsid w:val="00DE626A"/>
    <w:rsid w:val="00DF1254"/>
    <w:rsid w:val="00DF731D"/>
    <w:rsid w:val="00E02BB3"/>
    <w:rsid w:val="00E05452"/>
    <w:rsid w:val="00E133ED"/>
    <w:rsid w:val="00E36D2C"/>
    <w:rsid w:val="00E3796A"/>
    <w:rsid w:val="00E40FEB"/>
    <w:rsid w:val="00E42A24"/>
    <w:rsid w:val="00E519A0"/>
    <w:rsid w:val="00E61810"/>
    <w:rsid w:val="00E74DF4"/>
    <w:rsid w:val="00E77A63"/>
    <w:rsid w:val="00E9429D"/>
    <w:rsid w:val="00EB2685"/>
    <w:rsid w:val="00EB7B73"/>
    <w:rsid w:val="00EF01F4"/>
    <w:rsid w:val="00EF1AFC"/>
    <w:rsid w:val="00F00A2C"/>
    <w:rsid w:val="00F11E74"/>
    <w:rsid w:val="00F355E6"/>
    <w:rsid w:val="00F42326"/>
    <w:rsid w:val="00F44AC7"/>
    <w:rsid w:val="00F71062"/>
    <w:rsid w:val="00F72F26"/>
    <w:rsid w:val="00F734F4"/>
    <w:rsid w:val="00F805E9"/>
    <w:rsid w:val="00FA5F19"/>
    <w:rsid w:val="00FB3D2C"/>
    <w:rsid w:val="00FC4572"/>
    <w:rsid w:val="00FD26A9"/>
    <w:rsid w:val="00FD4748"/>
    <w:rsid w:val="00FD6F94"/>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207B-EB09-4FC8-AF64-745ADAD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1384</Words>
  <Characters>7890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8</cp:revision>
  <cp:lastPrinted>2024-07-12T06:27:00Z</cp:lastPrinted>
  <dcterms:created xsi:type="dcterms:W3CDTF">2024-05-08T11:41:00Z</dcterms:created>
  <dcterms:modified xsi:type="dcterms:W3CDTF">2024-07-12T06:30:00Z</dcterms:modified>
</cp:coreProperties>
</file>