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71DFC">
        <w:t>2</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854B7F">
        <w:t>42</w:t>
      </w:r>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854B7F">
        <w:t>02</w:t>
      </w:r>
      <w:r w:rsidRPr="0040042A">
        <w:t xml:space="preserve">» </w:t>
      </w:r>
      <w:r w:rsidR="00E936D7">
        <w:t>апреля</w:t>
      </w:r>
      <w:r w:rsidR="00F71DFC" w:rsidRPr="0040042A">
        <w:t xml:space="preserve"> 202</w:t>
      </w:r>
      <w:r w:rsidR="00BD0775">
        <w:t>1</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зона отдыха Варзоб, состоящая из 3-х строений, общая площадь которых составляет 166,1 м²; общая площадь земельного участка составляет 1,61 га.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Зона отдыха расположена в пос. Варзоб </w:t>
      </w:r>
      <w:proofErr w:type="spellStart"/>
      <w:r w:rsidRPr="00E9754C">
        <w:rPr>
          <w:rFonts w:ascii="Times New Roman" w:hAnsi="Times New Roman"/>
          <w:sz w:val="26"/>
          <w:szCs w:val="26"/>
        </w:rPr>
        <w:t>Калъа</w:t>
      </w:r>
      <w:proofErr w:type="spellEnd"/>
      <w:r w:rsidRPr="00E9754C">
        <w:rPr>
          <w:rFonts w:ascii="Times New Roman" w:hAnsi="Times New Roman"/>
          <w:sz w:val="26"/>
          <w:szCs w:val="26"/>
        </w:rPr>
        <w:t xml:space="preserve"> </w:t>
      </w:r>
      <w:proofErr w:type="spellStart"/>
      <w:r w:rsidRPr="00E9754C">
        <w:rPr>
          <w:rFonts w:ascii="Times New Roman" w:hAnsi="Times New Roman"/>
          <w:sz w:val="26"/>
          <w:szCs w:val="26"/>
        </w:rPr>
        <w:t>Варзобского</w:t>
      </w:r>
      <w:proofErr w:type="spellEnd"/>
      <w:r w:rsidRPr="00E9754C">
        <w:rPr>
          <w:rFonts w:ascii="Times New Roman" w:hAnsi="Times New Roman"/>
          <w:sz w:val="26"/>
          <w:szCs w:val="26"/>
        </w:rPr>
        <w:t xml:space="preserve"> района (42 км автодороги Душанбе – </w:t>
      </w:r>
      <w:proofErr w:type="spellStart"/>
      <w:r w:rsidRPr="00E9754C">
        <w:rPr>
          <w:rFonts w:ascii="Times New Roman" w:hAnsi="Times New Roman"/>
          <w:sz w:val="26"/>
          <w:szCs w:val="26"/>
        </w:rPr>
        <w:t>Чанак</w:t>
      </w:r>
      <w:proofErr w:type="spellEnd"/>
      <w:r w:rsidRPr="00E9754C">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1"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sidR="00E936D7">
        <w:rPr>
          <w:sz w:val="26"/>
          <w:szCs w:val="26"/>
        </w:rPr>
        <w:t>09</w:t>
      </w:r>
      <w:r>
        <w:rPr>
          <w:sz w:val="26"/>
          <w:szCs w:val="26"/>
        </w:rPr>
        <w:t>.0</w:t>
      </w:r>
      <w:r w:rsidR="00E936D7">
        <w:rPr>
          <w:sz w:val="26"/>
          <w:szCs w:val="26"/>
        </w:rPr>
        <w:t>4</w:t>
      </w:r>
      <w:r>
        <w:rPr>
          <w:sz w:val="26"/>
          <w:szCs w:val="26"/>
        </w:rPr>
        <w:t>.202</w:t>
      </w:r>
      <w:r w:rsidR="0060233F">
        <w:rPr>
          <w:sz w:val="26"/>
          <w:szCs w:val="26"/>
        </w:rPr>
        <w:t>1</w:t>
      </w:r>
      <w:r>
        <w:rPr>
          <w:sz w:val="26"/>
          <w:szCs w:val="26"/>
        </w:rPr>
        <w:t>г.</w:t>
      </w:r>
    </w:p>
    <w:p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w:t>
      </w:r>
      <w:proofErr w:type="spellStart"/>
      <w:r>
        <w:rPr>
          <w:sz w:val="26"/>
          <w:szCs w:val="26"/>
        </w:rPr>
        <w:t>г</w:t>
      </w:r>
      <w:proofErr w:type="gramStart"/>
      <w:r>
        <w:rPr>
          <w:sz w:val="26"/>
          <w:szCs w:val="26"/>
        </w:rPr>
        <w:t>.Д</w:t>
      </w:r>
      <w:proofErr w:type="gramEnd"/>
      <w:r>
        <w:rPr>
          <w:sz w:val="26"/>
          <w:szCs w:val="26"/>
        </w:rPr>
        <w:t>ушанбе</w:t>
      </w:r>
      <w:proofErr w:type="spellEnd"/>
      <w:r>
        <w:rPr>
          <w:sz w:val="26"/>
          <w:szCs w:val="26"/>
        </w:rPr>
        <w:t xml:space="preserve">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lastRenderedPageBreak/>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 xml:space="preserve">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w:t>
      </w:r>
      <w:r w:rsidR="00E9754C" w:rsidRPr="00B300C1">
        <w:rPr>
          <w:sz w:val="26"/>
          <w:szCs w:val="26"/>
        </w:rPr>
        <w:lastRenderedPageBreak/>
        <w:t>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w:t>
      </w:r>
      <w:r w:rsidRPr="00C7687D">
        <w:rPr>
          <w:sz w:val="26"/>
          <w:szCs w:val="26"/>
        </w:rPr>
        <w:lastRenderedPageBreak/>
        <w:t>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w:t>
      </w:r>
      <w:r w:rsidRPr="00C7687D">
        <w:rPr>
          <w:rFonts w:ascii="Times New Roman" w:hAnsi="Times New Roman"/>
          <w:sz w:val="26"/>
          <w:szCs w:val="26"/>
        </w:rPr>
        <w:lastRenderedPageBreak/>
        <w:t xml:space="preserve">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E936D7">
        <w:rPr>
          <w:sz w:val="26"/>
          <w:szCs w:val="26"/>
        </w:rPr>
        <w:t>09</w:t>
      </w:r>
      <w:r w:rsidR="00022F27">
        <w:rPr>
          <w:sz w:val="26"/>
          <w:szCs w:val="26"/>
        </w:rPr>
        <w:t>.0</w:t>
      </w:r>
      <w:r w:rsidR="00E936D7">
        <w:rPr>
          <w:sz w:val="26"/>
          <w:szCs w:val="26"/>
        </w:rPr>
        <w:t>4</w:t>
      </w:r>
      <w:r w:rsidR="00022F27">
        <w:rPr>
          <w:sz w:val="26"/>
          <w:szCs w:val="26"/>
        </w:rPr>
        <w:t>.202</w:t>
      </w:r>
      <w:r w:rsidR="00BD0775">
        <w:rPr>
          <w:sz w:val="26"/>
          <w:szCs w:val="26"/>
        </w:rPr>
        <w:t>1</w:t>
      </w:r>
      <w:r w:rsidRPr="00C7687D">
        <w:rPr>
          <w:sz w:val="26"/>
          <w:szCs w:val="26"/>
        </w:rPr>
        <w:t xml:space="preserve"> (дата начала приема заявок) до </w:t>
      </w:r>
      <w:r w:rsidR="00022F27">
        <w:rPr>
          <w:sz w:val="26"/>
          <w:szCs w:val="26"/>
        </w:rPr>
        <w:t>2</w:t>
      </w:r>
      <w:r w:rsidR="00E936D7">
        <w:rPr>
          <w:sz w:val="26"/>
          <w:szCs w:val="26"/>
        </w:rPr>
        <w:t>5</w:t>
      </w:r>
      <w:r w:rsidR="00022F27">
        <w:rPr>
          <w:sz w:val="26"/>
          <w:szCs w:val="26"/>
        </w:rPr>
        <w:t>.0</w:t>
      </w:r>
      <w:r w:rsidR="00E936D7">
        <w:rPr>
          <w:sz w:val="26"/>
          <w:szCs w:val="26"/>
        </w:rPr>
        <w:t>6</w:t>
      </w:r>
      <w:r w:rsidR="00022F27">
        <w:rPr>
          <w:sz w:val="26"/>
          <w:szCs w:val="26"/>
        </w:rPr>
        <w:t>.202</w:t>
      </w:r>
      <w:r w:rsidR="0060233F">
        <w:rPr>
          <w:sz w:val="26"/>
          <w:szCs w:val="26"/>
        </w:rPr>
        <w:t>1</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lastRenderedPageBreak/>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8"/>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проведении процедуры переторжки фиксируется в протоколе заседания Комиссии. Указанный протокол заседания Комиссии </w:t>
      </w:r>
      <w:r w:rsidRPr="00EF2661">
        <w:rPr>
          <w:sz w:val="26"/>
          <w:szCs w:val="26"/>
        </w:rPr>
        <w:lastRenderedPageBreak/>
        <w:t>(включая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 xml:space="preserve">Наименования (фамилии, имена, отчества) Участников, фамилии, имена, отчества их уполномоченных представителей, реквизиты документов, </w:t>
      </w:r>
      <w:r w:rsidR="00E9754C" w:rsidRPr="00EF2661">
        <w:rPr>
          <w:sz w:val="26"/>
          <w:szCs w:val="26"/>
        </w:rPr>
        <w:lastRenderedPageBreak/>
        <w:t>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w:t>
      </w:r>
      <w:r w:rsidRPr="00E712FB">
        <w:rPr>
          <w:rFonts w:ascii="Times New Roman" w:hAnsi="Times New Roman"/>
          <w:sz w:val="26"/>
          <w:szCs w:val="26"/>
        </w:rPr>
        <w:lastRenderedPageBreak/>
        <w:t xml:space="preserve">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1"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1"/>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bookmarkStart w:id="12" w:name="_GoBack"/>
      <w:r w:rsidR="00654DE1">
        <w:rPr>
          <w:i/>
          <w:sz w:val="26"/>
          <w:szCs w:val="26"/>
          <w:u w:val="single"/>
        </w:rPr>
        <w:t>приказ</w:t>
      </w:r>
      <w:bookmarkEnd w:id="12"/>
      <w:r w:rsidR="00654DE1">
        <w:rPr>
          <w:i/>
          <w:sz w:val="26"/>
          <w:szCs w:val="26"/>
          <w:u w:val="single"/>
        </w:rPr>
        <w:t>ом по</w:t>
      </w:r>
      <w:r w:rsidR="00AD36E9">
        <w:rPr>
          <w:i/>
          <w:sz w:val="26"/>
          <w:szCs w:val="26"/>
          <w:u w:val="single"/>
        </w:rPr>
        <w:t xml:space="preserve"> </w:t>
      </w:r>
      <w:r w:rsidR="00654DE1">
        <w:rPr>
          <w:i/>
          <w:sz w:val="26"/>
          <w:szCs w:val="26"/>
          <w:u w:val="single"/>
        </w:rPr>
        <w:t xml:space="preserve">Обществу № </w:t>
      </w:r>
      <w:r w:rsidR="00854B7F">
        <w:rPr>
          <w:i/>
          <w:sz w:val="26"/>
          <w:szCs w:val="26"/>
          <w:u w:val="single"/>
        </w:rPr>
        <w:t>42</w:t>
      </w:r>
      <w:r w:rsidR="00654DE1">
        <w:rPr>
          <w:i/>
          <w:sz w:val="26"/>
          <w:szCs w:val="26"/>
          <w:u w:val="single"/>
        </w:rPr>
        <w:t xml:space="preserve">-п от </w:t>
      </w:r>
      <w:r w:rsidR="00854B7F">
        <w:rPr>
          <w:i/>
          <w:sz w:val="26"/>
          <w:szCs w:val="26"/>
          <w:u w:val="single"/>
        </w:rPr>
        <w:t>02.</w:t>
      </w:r>
      <w:r w:rsidR="00654DE1">
        <w:rPr>
          <w:i/>
          <w:sz w:val="26"/>
          <w:szCs w:val="26"/>
          <w:u w:val="single"/>
        </w:rPr>
        <w:t>0</w:t>
      </w:r>
      <w:r w:rsidR="00E936D7">
        <w:rPr>
          <w:i/>
          <w:sz w:val="26"/>
          <w:szCs w:val="26"/>
          <w:u w:val="single"/>
        </w:rPr>
        <w:t>4</w:t>
      </w:r>
      <w:r w:rsidR="00654DE1">
        <w:rPr>
          <w:i/>
          <w:sz w:val="26"/>
          <w:szCs w:val="26"/>
          <w:u w:val="single"/>
        </w:rPr>
        <w:t>.202</w:t>
      </w:r>
      <w:r w:rsidR="0060233F">
        <w:rPr>
          <w:i/>
          <w:sz w:val="26"/>
          <w:szCs w:val="26"/>
          <w:u w:val="single"/>
        </w:rPr>
        <w:t>1</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w:t>
      </w:r>
      <w:r w:rsidR="00E049F9">
        <w:rPr>
          <w:sz w:val="26"/>
          <w:szCs w:val="26"/>
        </w:rPr>
        <w:t>1</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w:t>
      </w:r>
      <w:r w:rsidR="0060233F">
        <w:rPr>
          <w:sz w:val="26"/>
          <w:szCs w:val="26"/>
        </w:rPr>
        <w:t>21</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001</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E049F9">
        <w:rPr>
          <w:sz w:val="26"/>
          <w:szCs w:val="26"/>
        </w:rPr>
        <w:t>1</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w:t>
      </w:r>
      <w:r w:rsidR="00E049F9">
        <w:rPr>
          <w:sz w:val="26"/>
          <w:szCs w:val="26"/>
        </w:rPr>
        <w:t>1</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E049F9">
        <w:rPr>
          <w:sz w:val="26"/>
          <w:szCs w:val="26"/>
        </w:rPr>
        <w:t>21</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60233F">
        <w:rPr>
          <w:sz w:val="26"/>
          <w:szCs w:val="26"/>
        </w:rPr>
        <w:t>1</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0F445A" w:rsidRDefault="005C783E" w:rsidP="005C783E">
      <w:pPr>
        <w:ind w:left="2552"/>
        <w:rPr>
          <w:b/>
          <w:sz w:val="26"/>
          <w:szCs w:val="26"/>
        </w:rPr>
      </w:pPr>
      <w:r w:rsidRPr="000F445A">
        <w:rPr>
          <w:b/>
          <w:sz w:val="26"/>
          <w:szCs w:val="26"/>
        </w:rPr>
        <w:t>Перечень продаваемых объектов имущества</w:t>
      </w:r>
    </w:p>
    <w:p w:rsidR="005C783E" w:rsidRDefault="005C783E" w:rsidP="005C783E">
      <w:pPr>
        <w:ind w:left="6521"/>
        <w:rPr>
          <w:sz w:val="22"/>
          <w:szCs w:val="22"/>
        </w:rPr>
      </w:pPr>
    </w:p>
    <w:p w:rsidR="005C783E" w:rsidRDefault="005C783E" w:rsidP="005C783E">
      <w:pPr>
        <w:ind w:left="6521"/>
        <w:rPr>
          <w:sz w:val="22"/>
          <w:szCs w:val="22"/>
        </w:rPr>
      </w:pPr>
    </w:p>
    <w:p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908"/>
        <w:gridCol w:w="1276"/>
        <w:gridCol w:w="1417"/>
        <w:gridCol w:w="2835"/>
      </w:tblGrid>
      <w:tr w:rsidR="0060233F" w:rsidRPr="00767AF6" w:rsidTr="0060233F">
        <w:trPr>
          <w:trHeight w:val="1288"/>
        </w:trPr>
        <w:tc>
          <w:tcPr>
            <w:tcW w:w="744"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 xml:space="preserve">№№ </w:t>
            </w:r>
            <w:proofErr w:type="spellStart"/>
            <w:r w:rsidRPr="003D7F7F">
              <w:rPr>
                <w:sz w:val="26"/>
                <w:szCs w:val="26"/>
              </w:rPr>
              <w:t>пп</w:t>
            </w:r>
            <w:proofErr w:type="spellEnd"/>
          </w:p>
        </w:tc>
        <w:tc>
          <w:tcPr>
            <w:tcW w:w="2908"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proofErr w:type="spellStart"/>
            <w:proofErr w:type="gramStart"/>
            <w:r w:rsidRPr="003D7F7F">
              <w:rPr>
                <w:sz w:val="26"/>
                <w:szCs w:val="26"/>
              </w:rPr>
              <w:t>Инвен</w:t>
            </w:r>
            <w:proofErr w:type="spellEnd"/>
            <w:r>
              <w:rPr>
                <w:sz w:val="26"/>
                <w:szCs w:val="26"/>
              </w:rPr>
              <w:t>-</w:t>
            </w:r>
            <w:r w:rsidRPr="003D7F7F">
              <w:rPr>
                <w:sz w:val="26"/>
                <w:szCs w:val="26"/>
              </w:rPr>
              <w:t>тарный</w:t>
            </w:r>
            <w:proofErr w:type="gramEnd"/>
            <w:r w:rsidRPr="003D7F7F">
              <w:rPr>
                <w:sz w:val="26"/>
                <w:szCs w:val="26"/>
              </w:rPr>
              <w:t xml:space="preserve"> номер</w:t>
            </w:r>
          </w:p>
          <w:p w:rsidR="0060233F" w:rsidRPr="003D7F7F" w:rsidRDefault="0060233F" w:rsidP="00612B31">
            <w:pPr>
              <w:jc w:val="center"/>
              <w:rPr>
                <w:sz w:val="26"/>
                <w:szCs w:val="26"/>
              </w:rPr>
            </w:pPr>
          </w:p>
        </w:tc>
        <w:tc>
          <w:tcPr>
            <w:tcW w:w="1417"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Номер лота</w:t>
            </w:r>
          </w:p>
        </w:tc>
        <w:tc>
          <w:tcPr>
            <w:tcW w:w="2835" w:type="dxa"/>
            <w:shd w:val="clear" w:color="auto" w:fill="auto"/>
          </w:tcPr>
          <w:p w:rsidR="0060233F" w:rsidRPr="003D7F7F" w:rsidRDefault="0060233F" w:rsidP="00612B31">
            <w:pPr>
              <w:jc w:val="center"/>
              <w:rPr>
                <w:sz w:val="26"/>
                <w:szCs w:val="26"/>
              </w:rPr>
            </w:pPr>
          </w:p>
          <w:p w:rsidR="0060233F" w:rsidRPr="003D7F7F" w:rsidRDefault="0060233F" w:rsidP="00612B31">
            <w:pPr>
              <w:jc w:val="center"/>
              <w:rPr>
                <w:sz w:val="26"/>
                <w:szCs w:val="26"/>
              </w:rPr>
            </w:pPr>
            <w:r w:rsidRPr="003D7F7F">
              <w:rPr>
                <w:sz w:val="26"/>
                <w:szCs w:val="26"/>
              </w:rPr>
              <w:t>Начальная цена с учетом НДС</w:t>
            </w:r>
            <w:r>
              <w:rPr>
                <w:sz w:val="26"/>
                <w:szCs w:val="26"/>
              </w:rPr>
              <w:t xml:space="preserve"> (договорная)</w:t>
            </w:r>
            <w:r w:rsidRPr="003D7F7F">
              <w:rPr>
                <w:sz w:val="26"/>
                <w:szCs w:val="26"/>
              </w:rPr>
              <w:t xml:space="preserve">, </w:t>
            </w:r>
            <w:proofErr w:type="spellStart"/>
            <w:r w:rsidRPr="003D7F7F">
              <w:rPr>
                <w:sz w:val="26"/>
                <w:szCs w:val="26"/>
              </w:rPr>
              <w:t>сомони</w:t>
            </w:r>
            <w:proofErr w:type="spellEnd"/>
          </w:p>
        </w:tc>
      </w:tr>
      <w:tr w:rsidR="0060233F" w:rsidRPr="00767AF6" w:rsidTr="0060233F">
        <w:tc>
          <w:tcPr>
            <w:tcW w:w="744" w:type="dxa"/>
            <w:shd w:val="clear" w:color="auto" w:fill="auto"/>
            <w:vAlign w:val="center"/>
          </w:tcPr>
          <w:p w:rsidR="0060233F" w:rsidRPr="003D7F7F" w:rsidRDefault="0060233F" w:rsidP="00612B31">
            <w:pPr>
              <w:jc w:val="center"/>
              <w:rPr>
                <w:sz w:val="26"/>
                <w:szCs w:val="26"/>
              </w:rPr>
            </w:pPr>
            <w:r w:rsidRPr="003D7F7F">
              <w:rPr>
                <w:sz w:val="26"/>
                <w:szCs w:val="26"/>
              </w:rPr>
              <w:t>1</w:t>
            </w:r>
          </w:p>
        </w:tc>
        <w:tc>
          <w:tcPr>
            <w:tcW w:w="2908" w:type="dxa"/>
            <w:shd w:val="clear" w:color="auto" w:fill="auto"/>
            <w:vAlign w:val="center"/>
          </w:tcPr>
          <w:p w:rsidR="0060233F" w:rsidRPr="003D7F7F" w:rsidRDefault="0060233F" w:rsidP="0060233F">
            <w:pPr>
              <w:pStyle w:val="a9"/>
              <w:ind w:left="0"/>
              <w:jc w:val="left"/>
              <w:rPr>
                <w:rFonts w:ascii="Times New Roman" w:hAnsi="Times New Roman"/>
                <w:sz w:val="26"/>
                <w:szCs w:val="26"/>
              </w:rPr>
            </w:pPr>
            <w:r w:rsidRPr="003D7F7F">
              <w:rPr>
                <w:rFonts w:ascii="Times New Roman" w:hAnsi="Times New Roman"/>
                <w:sz w:val="26"/>
                <w:szCs w:val="26"/>
              </w:rPr>
              <w:t xml:space="preserve">Зона отдыха Варзоб из 3-х строений, расположенная в пос. Варзоб </w:t>
            </w:r>
            <w:proofErr w:type="spellStart"/>
            <w:r w:rsidRPr="003D7F7F">
              <w:rPr>
                <w:rFonts w:ascii="Times New Roman" w:hAnsi="Times New Roman"/>
                <w:sz w:val="26"/>
                <w:szCs w:val="26"/>
              </w:rPr>
              <w:t>Калъа</w:t>
            </w:r>
            <w:proofErr w:type="spellEnd"/>
            <w:r w:rsidRPr="003D7F7F">
              <w:rPr>
                <w:rFonts w:ascii="Times New Roman" w:hAnsi="Times New Roman"/>
                <w:sz w:val="26"/>
                <w:szCs w:val="26"/>
              </w:rPr>
              <w:t xml:space="preserve">  </w:t>
            </w:r>
            <w:proofErr w:type="spellStart"/>
            <w:r w:rsidRPr="003D7F7F">
              <w:rPr>
                <w:rFonts w:ascii="Times New Roman" w:hAnsi="Times New Roman"/>
                <w:sz w:val="26"/>
                <w:szCs w:val="26"/>
              </w:rPr>
              <w:t>Варзобского</w:t>
            </w:r>
            <w:proofErr w:type="spellEnd"/>
            <w:r w:rsidRPr="003D7F7F">
              <w:rPr>
                <w:rFonts w:ascii="Times New Roman" w:hAnsi="Times New Roman"/>
                <w:sz w:val="26"/>
                <w:szCs w:val="26"/>
              </w:rPr>
              <w:t xml:space="preserve"> района</w:t>
            </w:r>
          </w:p>
        </w:tc>
        <w:tc>
          <w:tcPr>
            <w:tcW w:w="1276" w:type="dxa"/>
            <w:shd w:val="clear" w:color="auto" w:fill="auto"/>
            <w:vAlign w:val="center"/>
          </w:tcPr>
          <w:p w:rsidR="0060233F" w:rsidRPr="003D7F7F" w:rsidRDefault="0060233F" w:rsidP="00612B31">
            <w:pPr>
              <w:jc w:val="center"/>
              <w:rPr>
                <w:sz w:val="26"/>
                <w:szCs w:val="26"/>
              </w:rPr>
            </w:pPr>
            <w:r w:rsidRPr="003D7F7F">
              <w:rPr>
                <w:sz w:val="26"/>
                <w:szCs w:val="26"/>
              </w:rPr>
              <w:t>2145</w:t>
            </w:r>
          </w:p>
        </w:tc>
        <w:tc>
          <w:tcPr>
            <w:tcW w:w="1417" w:type="dxa"/>
            <w:shd w:val="clear" w:color="auto" w:fill="auto"/>
            <w:vAlign w:val="center"/>
          </w:tcPr>
          <w:p w:rsidR="0060233F" w:rsidRPr="003D7F7F" w:rsidRDefault="0060233F" w:rsidP="00612B31">
            <w:pPr>
              <w:jc w:val="center"/>
              <w:rPr>
                <w:sz w:val="26"/>
                <w:szCs w:val="26"/>
              </w:rPr>
            </w:pPr>
            <w:r w:rsidRPr="003D7F7F">
              <w:rPr>
                <w:sz w:val="26"/>
                <w:szCs w:val="26"/>
              </w:rPr>
              <w:t>001</w:t>
            </w:r>
          </w:p>
        </w:tc>
        <w:tc>
          <w:tcPr>
            <w:tcW w:w="2835" w:type="dxa"/>
            <w:shd w:val="clear" w:color="auto" w:fill="auto"/>
            <w:vAlign w:val="center"/>
          </w:tcPr>
          <w:p w:rsidR="0060233F" w:rsidRPr="003D7F7F" w:rsidRDefault="0060233F" w:rsidP="00612B31">
            <w:pPr>
              <w:jc w:val="center"/>
              <w:rPr>
                <w:sz w:val="26"/>
                <w:szCs w:val="26"/>
              </w:rPr>
            </w:pPr>
            <w:r>
              <w:rPr>
                <w:sz w:val="26"/>
                <w:szCs w:val="26"/>
              </w:rPr>
              <w:t>5 000 000,00</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19" w:rsidRDefault="00E83919" w:rsidP="00E9754C">
      <w:r>
        <w:separator/>
      </w:r>
    </w:p>
  </w:endnote>
  <w:endnote w:type="continuationSeparator" w:id="0">
    <w:p w:rsidR="00E83919" w:rsidRDefault="00E83919"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19" w:rsidRDefault="00E83919" w:rsidP="00E9754C">
      <w:r>
        <w:separator/>
      </w:r>
    </w:p>
  </w:footnote>
  <w:footnote w:type="continuationSeparator" w:id="0">
    <w:p w:rsidR="00E83919" w:rsidRDefault="00E83919"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79120120"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1519"/>
    <w:rsid w:val="00295782"/>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7D05"/>
    <w:rsid w:val="004548E8"/>
    <w:rsid w:val="00461D10"/>
    <w:rsid w:val="00464103"/>
    <w:rsid w:val="00471431"/>
    <w:rsid w:val="00490047"/>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33F"/>
    <w:rsid w:val="006028C9"/>
    <w:rsid w:val="00602957"/>
    <w:rsid w:val="006032B4"/>
    <w:rsid w:val="006127FB"/>
    <w:rsid w:val="00614B52"/>
    <w:rsid w:val="0063091A"/>
    <w:rsid w:val="00654DE1"/>
    <w:rsid w:val="0066079D"/>
    <w:rsid w:val="006645E7"/>
    <w:rsid w:val="00670E41"/>
    <w:rsid w:val="00680AB6"/>
    <w:rsid w:val="00683BB7"/>
    <w:rsid w:val="00695C72"/>
    <w:rsid w:val="006A549F"/>
    <w:rsid w:val="006A64A6"/>
    <w:rsid w:val="006B29D5"/>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54B7F"/>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300C1"/>
    <w:rsid w:val="00B315B9"/>
    <w:rsid w:val="00B35368"/>
    <w:rsid w:val="00B35B1C"/>
    <w:rsid w:val="00B46B07"/>
    <w:rsid w:val="00B6425A"/>
    <w:rsid w:val="00B72AB8"/>
    <w:rsid w:val="00B8251C"/>
    <w:rsid w:val="00B9175D"/>
    <w:rsid w:val="00B960D0"/>
    <w:rsid w:val="00BB1F87"/>
    <w:rsid w:val="00BD0775"/>
    <w:rsid w:val="00BE1786"/>
    <w:rsid w:val="00BE4217"/>
    <w:rsid w:val="00BE4AA8"/>
    <w:rsid w:val="00BE575D"/>
    <w:rsid w:val="00BF4A6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4CAC"/>
    <w:rsid w:val="00E62A13"/>
    <w:rsid w:val="00E67BA7"/>
    <w:rsid w:val="00E712FB"/>
    <w:rsid w:val="00E76B6A"/>
    <w:rsid w:val="00E83919"/>
    <w:rsid w:val="00E90C94"/>
    <w:rsid w:val="00E936D7"/>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5970</Words>
  <Characters>34032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Полищук Надежда</cp:lastModifiedBy>
  <cp:revision>7</cp:revision>
  <cp:lastPrinted>2020-04-03T10:27:00Z</cp:lastPrinted>
  <dcterms:created xsi:type="dcterms:W3CDTF">2020-12-29T09:37:00Z</dcterms:created>
  <dcterms:modified xsi:type="dcterms:W3CDTF">2021-04-05T04:29:00Z</dcterms:modified>
</cp:coreProperties>
</file>